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6"/>
    <w:p>
      <w:pPr>
        <w:pStyle w:val="Heading1"/>
      </w:pPr>
      <w:r>
        <w:t xml:space="preserve">Homiletics Analysis: Leviticus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Leviticus 6 continues and extends the sacrificial legislation begun in chapters 1–5, but with a notable shift in primary audience: where chapters 1–5 addressed the Israelite layperson bringing offerings, chapter 6 (together with chapter 7) pivots to address the priests who receive and handle those offerings. The chapter opens, however, with one final expansion of the guilt offering legislation (vv. 1–7), specifying the case where sin involves fraud, theft, or deception against a neighbor accompanied by a false oath — crimes against both God and fellow Israelite simultaneously. The guilty party must make full restitution plus a twenty-percent penalty to the injured neighbor and bring a ram as a guilt offering to the LORD. This opening unit closes the trespass-against-neighbor category from chapter 5 with pointed specificity: deception and oath-breaking are not merely social crimes but theological offenses requiring atonement.</w:t>
      </w:r>
    </w:p>
    <w:p>
      <w:pPr>
        <w:pStyle w:val="BodyText"/>
      </w:pPr>
      <w:r>
        <w:t xml:space="preserve">Beginning at verse 8 (Hebrew v. 1 of a new section), the chapter turns to priestly instructions — the</w:t>
      </w:r>
      <w:r>
        <w:t xml:space="preserve"> </w:t>
      </w:r>
      <w:r>
        <w:rPr>
          <w:i/>
          <w:iCs/>
        </w:rPr>
        <w:t xml:space="preserve">torot</w:t>
      </w:r>
      <w:r>
        <w:t xml:space="preserve"> </w:t>
      </w:r>
      <w:r>
        <w:t xml:space="preserve">(laws, instructions) for handling the burnt offering (vv. 8–13), the grain offering (vv. 14–23), the priests’ own daily grain offering (vv. 19–23), and the sin offering (vv. 24–30). Each unit governs how the priest is to tend the altar, handle sacred portions, and maintain the distinction between what is holy and what is common. The perpetual fire on the altar (vv. 9, 12–13) is particularly emphasized — it must never go out. The priest’s garments, the handling of ashes, the portions due to the priests, and the prohibitions against anything unclean touching the holy sacrifices all receive careful regulation.</w:t>
      </w:r>
    </w:p>
    <w:p>
      <w:pPr>
        <w:pStyle w:val="BodyText"/>
      </w:pPr>
      <w:r>
        <w:rPr>
          <w:b/>
          <w:bCs/>
        </w:rPr>
        <w:t xml:space="preserve">This Text — Intent:</w:t>
      </w:r>
    </w:p>
    <w:p>
      <w:pPr>
        <w:pStyle w:val="BodyText"/>
      </w:pPr>
      <w:r>
        <w:t xml:space="preserve">God is pressing upon Israel — and specifically upon those who draw near to Him professionally, as it were — that nearness to the holy is not familiarity. The regulations governing priestly conduct at the altar are not bureaucratic housekeeping; they are a sustained, repeated lesson in the weight of holiness. The fire that must never go out is not merely a practical instruction — it is a living symbol of the perpetual nature of worship and atonement. God intends through this chapter to shape a people (and especially those who serve at His altar) who understand that access to Him is costly, ordered, and entirely on His terms. Simultaneously, the guilt offering legislation of verses 1–7 intends to press upon the conscience that sin against a neighbor is sin against God, and that restoration — both vertical and horizontal — must be complete and costly. God is calling His people to an integrated holiness: full restitution to neighbors, full consecration at the altar, full attentiveness to the boundary between holy and common.</w:t>
      </w:r>
    </w:p>
    <w:p>
      <w:r>
        <w:pict>
          <v:rect style="width:0;height:1.5pt" o:hralign="center" o:hrstd="t" o:hr="t"/>
        </w:pict>
      </w:r>
    </w:p>
    <w:p>
      <w:pPr>
        <w:pStyle w:val="FirstParagraph"/>
      </w:pPr>
      <w:r>
        <w:rPr>
          <w:b/>
          <w:bCs/>
        </w:rPr>
        <w:t xml:space="preserve">Subject Sentence:</w:t>
      </w:r>
    </w:p>
    <w:p>
      <w:pPr>
        <w:pStyle w:val="BodyText"/>
      </w:pPr>
      <w:r>
        <w:t xml:space="preserve">God legislates the holy — governing guilt toward neighbors and priestly conduct at the altar with precise, demanding care.</w:t>
      </w:r>
    </w:p>
    <w:p>
      <w:r>
        <w:pict>
          <v:rect style="width:0;height:1.5pt" o:hralign="center" o:hrstd="t" o:hr="t"/>
        </w:pict>
      </w:r>
    </w:p>
    <w:p>
      <w:pPr>
        <w:pStyle w:val="FirstParagraph"/>
      </w:pPr>
      <w:r>
        <w:rPr>
          <w:b/>
          <w:bCs/>
        </w:rPr>
        <w:t xml:space="preserve">Primary Claim:</w:t>
      </w:r>
    </w:p>
    <w:p>
      <w:pPr>
        <w:pStyle w:val="BodyText"/>
      </w:pPr>
      <w:r>
        <w:t xml:space="preserve">God is showing Israel that nearness to Him requires both complete restoration toward those we have wronged and scrupulous reverence for the holiness that attends His altar — and that neither can be substituted for the other.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guilt offering and neighbor-restitution (vv. 1–7):</w:t>
      </w:r>
      <w:r>
        <w:t xml:space="preserve"> </w:t>
      </w:r>
      <w:r>
        <w:t xml:space="preserve">The opening unit raises the question of how to understand the relationship between the horizontal (restitution to the neighbor) and the vertical (the guilt offering to God). Some traditions, particularly those with a therapeutic or social-gospel emphasis, lift these verses primarily as a model of restorative justice — the theological machinery of atonement becomes secondary to the relational repair. This reading</w:t>
      </w:r>
      <w:r>
        <w:t xml:space="preserve"> </w:t>
      </w:r>
      <w:r>
        <w:rPr>
          <w:i/>
          <w:iCs/>
        </w:rPr>
        <w:t xml:space="preserve">acknowledges</w:t>
      </w:r>
      <w:r>
        <w:t xml:space="preserve"> </w:t>
      </w:r>
      <w:r>
        <w:t xml:space="preserve">a genuine emphasis: the text is remarkable in specifying that restitution precedes or accompanies the sacrificial offering, and the neighbor’s concrete loss must be made whole. However, to frame the passage primarily as a social ethics text is to misread its structure: the guilty party must bring the offering</w:t>
      </w:r>
      <w:r>
        <w:t xml:space="preserve"> </w:t>
      </w:r>
      <w:r>
        <w:rPr>
          <w:i/>
          <w:iCs/>
        </w:rPr>
        <w:t xml:space="preserve">to the LORD</w:t>
      </w:r>
      <w:r>
        <w:t xml:space="preserve"> </w:t>
      </w:r>
      <w:r>
        <w:t xml:space="preserve">(v. 6), and the priest makes atonement</w:t>
      </w:r>
      <w:r>
        <w:t xml:space="preserve"> </w:t>
      </w:r>
      <w:r>
        <w:rPr>
          <w:i/>
          <w:iCs/>
        </w:rPr>
        <w:t xml:space="preserve">for him before the LORD</w:t>
      </w:r>
      <w:r>
        <w:t xml:space="preserve"> </w:t>
      </w:r>
      <w:r>
        <w:t xml:space="preserve">(v. 7). The horizontal repair does not substitute for the vertical atonement; both are required because the oath-breaking violated both relationships simultaneously. The Reformed reading holds: sin is always ultimately against God, and the atonement machinery exists because God’s holiness demands it — but genuine repentance cannot leave the defrauded neighbor unrestored.</w:t>
      </w:r>
    </w:p>
    <w:p>
      <w:pPr>
        <w:pStyle w:val="BodyText"/>
      </w:pPr>
      <w:r>
        <w:rPr>
          <w:b/>
          <w:bCs/>
        </w:rPr>
        <w:t xml:space="preserve">The priestly instructions and typology:</w:t>
      </w:r>
      <w:r>
        <w:t xml:space="preserve"> </w:t>
      </w:r>
      <w:r>
        <w:t xml:space="preserve">Some Reformed and especially Puritan expositors read the priestly regulations of verses 8–30 with heavy Christological typology at every point — the fire as the Holy Spirit, the linen garments as Christ’s righteousness, the ashes as the results of Christ’s sacrifice consuming our sin. These readings are often rich and can be illuminating, but require care. The</w:t>
      </w:r>
      <w:r>
        <w:t xml:space="preserve"> </w:t>
      </w:r>
      <w:r>
        <w:rPr>
          <w:i/>
          <w:iCs/>
        </w:rPr>
        <w:t xml:space="preserve">Acknowledge</w:t>
      </w:r>
      <w:r>
        <w:t xml:space="preserve"> </w:t>
      </w:r>
      <w:r>
        <w:t xml:space="preserve">level is appropriate for typological readings that follow the canonical logic of Hebrews: the Levitical priesthood as a whole anticipates and is fulfilled in Christ as High Priest. The</w:t>
      </w:r>
      <w:r>
        <w:t xml:space="preserve"> </w:t>
      </w:r>
      <w:r>
        <w:rPr>
          <w:i/>
          <w:iCs/>
        </w:rPr>
        <w:t xml:space="preserve">Qualify</w:t>
      </w:r>
      <w:r>
        <w:t xml:space="preserve"> </w:t>
      </w:r>
      <w:r>
        <w:t xml:space="preserve">level is warranted where individual details are freighted with typological significance that the New Testament does not explicitly warrant. The better Reformed instinct is to read the chapter in its redemptive-historical function: these regulations maintain the holiness of God’s dwelling in Israel’s midst, and they point forward to the One who perfectly fulfills every priestly requirement, in whose finished work the curtain is torn and the fire does not need to be perpetually maintained by human hands.</w:t>
      </w:r>
    </w:p>
    <w:p>
      <w:pPr>
        <w:pStyle w:val="BodyText"/>
      </w:pPr>
      <w:r>
        <w:rPr>
          <w:b/>
          <w:bCs/>
        </w:rPr>
        <w:t xml:space="preserve">The perpetual fire (vv. 9, 12–13):</w:t>
      </w:r>
      <w:r>
        <w:t xml:space="preserve"> </w:t>
      </w:r>
      <w:r>
        <w:t xml:space="preserve">Pentecostal and charismatic traditions sometimes invoke the command</w:t>
      </w:r>
      <w:r>
        <w:t xml:space="preserve"> </w:t>
      </w:r>
      <w:r>
        <w:rPr>
          <w:i/>
          <w:iCs/>
        </w:rPr>
        <w:t xml:space="preserve">"the fire must not go out"</w:t>
      </w:r>
      <w:r>
        <w:t xml:space="preserve"> </w:t>
      </w:r>
      <w:r>
        <w:t xml:space="preserve">as a call to perpetual spiritual fervor — prayer meetings, revival, the fire of the Spirit must never die. This application has a partial warrant in the</w:t>
      </w:r>
      <w:r>
        <w:t xml:space="preserve"> </w:t>
      </w:r>
      <w:r>
        <w:rPr>
          <w:i/>
          <w:iCs/>
        </w:rPr>
        <w:t xml:space="preserve">analogia fidei</w:t>
      </w:r>
      <w:r>
        <w:t xml:space="preserve"> </w:t>
      </w:r>
      <w:r>
        <w:t xml:space="preserve">sense that worship and prayer should be continuous, but the text’s own context makes clear that the command is addressed to priests maintaining a specific altar in a specific covenant arrangement. The New Testament fulfillment does not call believers to maintain a fire — it announces that the Spirit has been</w:t>
      </w:r>
      <w:r>
        <w:t xml:space="preserve"> </w:t>
      </w:r>
      <w:r>
        <w:rPr>
          <w:i/>
          <w:iCs/>
        </w:rPr>
        <w:t xml:space="preserve">given</w:t>
      </w:r>
      <w:r>
        <w:t xml:space="preserve"> </w:t>
      </w:r>
      <w:r>
        <w:t xml:space="preserve">and</w:t>
      </w:r>
      <w:r>
        <w:t xml:space="preserve"> </w:t>
      </w:r>
      <w:r>
        <w:rPr>
          <w:i/>
          <w:iCs/>
        </w:rPr>
        <w:t xml:space="preserve">indwells</w:t>
      </w:r>
      <w:r>
        <w:t xml:space="preserve"> </w:t>
      </w:r>
      <w:r>
        <w:t xml:space="preserve">permanently (John 14:16; Romans 8:9). The Reformed reading resists reducing this detail to a motivational call to spiritual effort and instead locates it within the typological-priestly framework: the altar fire is the outward form of a perpetual worship and atonement that finds its antitype in Christ’s once-for-all sacrifice and the Spirit’s permanent indwelling.</w:t>
      </w:r>
    </w:p>
    <w:p>
      <w:pPr>
        <w:pStyle w:val="BodyText"/>
      </w:pPr>
      <w:r>
        <w:rPr>
          <w:b/>
          <w:bCs/>
        </w:rPr>
        <w:t xml:space="preserve">The holiness contagion laws (vv. 27–28):</w:t>
      </w:r>
      <w:r>
        <w:t xml:space="preserve"> </w:t>
      </w:r>
      <w:r>
        <w:t xml:space="preserve">The regulations about the vessels, garments, and anything touching the sin offering’s flesh (vv. 27–28) raise the question of holiness contagion — does holiness spread like impurity? Some critical scholars use this to argue for a primitive magical worldview underlying Levitical legislation. This reading is to be</w:t>
      </w:r>
      <w:r>
        <w:t xml:space="preserve"> </w:t>
      </w:r>
      <w:r>
        <w:rPr>
          <w:i/>
          <w:iCs/>
        </w:rPr>
        <w:t xml:space="preserve">refuted</w:t>
      </w:r>
      <w:r>
        <w:t xml:space="preserve">: the holiness legislation is not magical but covenantal. God is the author of the distinction between holy and common, and the regulations serve to protect the solemnity of the sacrificial system and reinforce the weight of what happens at the altar. The regulations are pedagogical, not incantational. They teach — persistently, physically, unavoidably — that what belongs to God is set apart in a category that demands care and reverence.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7:26–28</w:t>
      </w:r>
      <w:r>
        <w:t xml:space="preserve"> </w:t>
      </w:r>
      <w:r>
        <w:t xml:space="preserve">— Christ as the perfect High Priest who fulfills every priestly requirement of the Levitical order, rendering the repeated offerings unnecessary through His once-for-all sacrifice; the priestly regulations of Leviticus 6 point forward to the One who perfectly and permanently does what Israelite priests could only approximate.</w:t>
      </w:r>
    </w:p>
    <w:p>
      <w:pPr>
        <w:numPr>
          <w:ilvl w:val="0"/>
          <w:numId w:val="1001"/>
        </w:numPr>
      </w:pPr>
      <w:r>
        <w:rPr>
          <w:b/>
          <w:bCs/>
        </w:rPr>
        <w:t xml:space="preserve">Hebrews 9:11–14</w:t>
      </w:r>
      <w:r>
        <w:t xml:space="preserve"> </w:t>
      </w:r>
      <w:r>
        <w:t xml:space="preserve">— The blood of bulls and goats cleansed the flesh; the blood of Christ, offered through the eternal Spirit, cleanses the conscience; the guilt offering legislation of Leviticus 6:1–7 is a temporal, external form of the thorough restoration that only Christ’s atoning work can accomplish.</w:t>
      </w:r>
    </w:p>
    <w:p>
      <w:pPr>
        <w:numPr>
          <w:ilvl w:val="0"/>
          <w:numId w:val="1001"/>
        </w:numPr>
      </w:pPr>
      <w:r>
        <w:rPr>
          <w:b/>
          <w:bCs/>
        </w:rPr>
        <w:t xml:space="preserve">Matthew 5:23–24</w:t>
      </w:r>
      <w:r>
        <w:t xml:space="preserve"> </w:t>
      </w:r>
      <w:r>
        <w:t xml:space="preserve">— Jesus explicitly parallels the Levitical logic of Leviticus 6:1–7: reconciliation with the brother precedes bringing the offering to the altar; the horizontal and vertical dimensions of sin and restoration cannot be severed.</w:t>
      </w:r>
    </w:p>
    <w:p>
      <w:pPr>
        <w:numPr>
          <w:ilvl w:val="0"/>
          <w:numId w:val="1001"/>
        </w:numPr>
      </w:pPr>
      <w:r>
        <w:rPr>
          <w:b/>
          <w:bCs/>
        </w:rPr>
        <w:t xml:space="preserve">John 14:16–17; Romans 8:9</w:t>
      </w:r>
      <w:r>
        <w:t xml:space="preserve"> </w:t>
      </w:r>
      <w:r>
        <w:t xml:space="preserve">— The perpetual fire of the altar (Leviticus 6:9, 12–13) points forward to the Spirit’s permanent indwelling — not a fire maintained by human hands but a Comforter given by Christ who remains forever; the New Testament fulfillment is permanent and inward rather than physical and precarious.</w:t>
      </w:r>
    </w:p>
    <w:p>
      <w:pPr>
        <w:numPr>
          <w:ilvl w:val="0"/>
          <w:numId w:val="1001"/>
        </w:numPr>
      </w:pPr>
      <w:r>
        <w:rPr>
          <w:b/>
          <w:bCs/>
        </w:rPr>
        <w:t xml:space="preserve">Luke 19:8</w:t>
      </w:r>
      <w:r>
        <w:t xml:space="preserve"> </w:t>
      </w:r>
      <w:r>
        <w:t xml:space="preserve">— Zacchaeus’s response to Jesus — fourfold restitution and care for the poor — resonates with the restitution-plus-twenty-percent structure of Leviticus 6:1–7; genuine conversion produces the horizontal restoration the law demanded, now motivated by grace received rather than atonement earned.</w:t>
      </w:r>
    </w:p>
    <w:p>
      <w:r>
        <w:pict>
          <v:rect style="width:0;height:1.5pt" o:hralign="center" o:hrstd="t" o:hr="t"/>
        </w:pict>
      </w:r>
    </w:p>
    <w:p>
      <w:pPr>
        <w:pStyle w:val="FirstParagraph"/>
      </w:pPr>
      <w:r>
        <w:rPr>
          <w:b/>
          <w:bCs/>
        </w:rPr>
        <w:t xml:space="preserve">Aim:</w:t>
      </w:r>
    </w:p>
    <w:p>
      <w:pPr>
        <w:pStyle w:val="BodyText"/>
      </w:pPr>
      <w:r>
        <w:t xml:space="preserve">To show that Leviticus 6 is not ceremonial antiquity but a living portrait of God’s integrated demand for holiness — requiring complete restoration toward those we have wronged and complete reverence toward the holy God we approach — a demand ultimately fulfilled and applied through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LORD speaks to Moses: if a person sins against a neighbor by fraud, theft, extortion, or deception regarding lost property, or swears falsely regarding any of these</w:t>
            </w:r>
          </w:p>
        </w:tc>
        <w:tc>
          <w:tcPr/>
          <w:p>
            <w:pPr>
              <w:pStyle w:val="Compact"/>
            </w:pPr>
            <w:r>
              <w:t xml:space="preserve">These are covenant community violations — crimes against neighbor</w:t>
            </w:r>
            <w:r>
              <w:t xml:space="preserve"> </w:t>
            </w:r>
            <w:r>
              <w:rPr>
                <w:i/>
                <w:iCs/>
              </w:rPr>
              <w:t xml:space="preserve">and</w:t>
            </w:r>
            <w:r>
              <w:t xml:space="preserve"> </w:t>
            </w:r>
            <w:r>
              <w:t xml:space="preserve">against God simultaneously; the false oath makes them explicitly theological</w:t>
            </w:r>
          </w:p>
        </w:tc>
      </w:tr>
      <w:tr>
        <w:tc>
          <w:tcPr/>
          <w:p>
            <w:pPr>
              <w:pStyle w:val="Compact"/>
            </w:pPr>
            <w:r>
              <w:t xml:space="preserve">4–5</w:t>
            </w:r>
          </w:p>
        </w:tc>
        <w:tc>
          <w:tcPr/>
          <w:p>
            <w:pPr>
              <w:pStyle w:val="Compact"/>
            </w:pPr>
            <w:r>
              <w:t xml:space="preserve">The guilty party must restore what was taken in full, add a twenty-percent penalty, and return it to the rightful owner on the day of his guilt offering</w:t>
            </w:r>
          </w:p>
        </w:tc>
        <w:tc>
          <w:tcPr/>
          <w:p>
            <w:pPr>
              <w:pStyle w:val="Compact"/>
            </w:pPr>
            <w:r>
              <w:t xml:space="preserve">Restitution is specified as full plus twenty percent; it must occur the same day as the sacrifice — restoration and atonement are simultaneous, not sequential</w:t>
            </w:r>
          </w:p>
        </w:tc>
      </w:tr>
      <w:tr>
        <w:tc>
          <w:tcPr/>
          <w:p>
            <w:pPr>
              <w:pStyle w:val="Compact"/>
            </w:pPr>
            <w:r>
              <w:t xml:space="preserve">6–7</w:t>
            </w:r>
          </w:p>
        </w:tc>
        <w:tc>
          <w:tcPr/>
          <w:p>
            <w:pPr>
              <w:pStyle w:val="Compact"/>
            </w:pPr>
            <w:r>
              <w:t xml:space="preserve">He must bring a guilt offering (unblemished ram, valued appropriately) to the priest; the priest makes atonement before the LORD; the person is forgiven</w:t>
            </w:r>
          </w:p>
        </w:tc>
        <w:tc>
          <w:tcPr/>
          <w:p>
            <w:pPr>
              <w:pStyle w:val="Compact"/>
            </w:pPr>
            <w:r>
              <w:t xml:space="preserve">The horizontal restitution does not substitute for the vertical atonement; both are required; forgiveness is expressly granted</w:t>
            </w:r>
          </w:p>
        </w:tc>
      </w:tr>
      <w:tr>
        <w:tc>
          <w:tcPr/>
          <w:p>
            <w:pPr>
              <w:pStyle w:val="Compact"/>
            </w:pPr>
            <w:r>
              <w:t xml:space="preserve">8–9</w:t>
            </w:r>
          </w:p>
        </w:tc>
        <w:tc>
          <w:tcPr/>
          <w:p>
            <w:pPr>
              <w:pStyle w:val="Compact"/>
            </w:pPr>
            <w:r>
              <w:t xml:space="preserve">The LORD speaks to Moses: Aaron and his sons are to tend the burnt offering on the altar; the fire must be kept burning throughout the night until morning</w:t>
            </w:r>
          </w:p>
        </w:tc>
        <w:tc>
          <w:tcPr/>
          <w:p>
            <w:pPr>
              <w:pStyle w:val="Compact"/>
            </w:pPr>
            <w:r>
              <w:t xml:space="preserve">The shift to priestly</w:t>
            </w:r>
            <w:r>
              <w:t xml:space="preserve"> </w:t>
            </w:r>
            <w:r>
              <w:rPr>
                <w:i/>
                <w:iCs/>
              </w:rPr>
              <w:t xml:space="preserve">torot</w:t>
            </w:r>
            <w:r>
              <w:t xml:space="preserve"> </w:t>
            </w:r>
            <w:r>
              <w:t xml:space="preserve">begins; the night-to-morning instruction anticipates the regular morning and evening structure of tabernacle worship</w:t>
            </w:r>
          </w:p>
        </w:tc>
      </w:tr>
      <w:tr>
        <w:tc>
          <w:tcPr/>
          <w:p>
            <w:pPr>
              <w:pStyle w:val="Compact"/>
            </w:pPr>
            <w:r>
              <w:t xml:space="preserve">10–11</w:t>
            </w:r>
          </w:p>
        </w:tc>
        <w:tc>
          <w:tcPr/>
          <w:p>
            <w:pPr>
              <w:pStyle w:val="Compact"/>
            </w:pPr>
            <w:r>
              <w:t xml:space="preserve">The priest dresses in linen, removes the ashes from the burnt offering, carries them outside the camp to a clean place</w:t>
            </w:r>
          </w:p>
        </w:tc>
        <w:tc>
          <w:tcPr/>
          <w:p>
            <w:pPr>
              <w:pStyle w:val="Compact"/>
            </w:pPr>
            <w:r>
              <w:t xml:space="preserve">The careful handling of ash is not incidental — it honors what has been consumed in God’s presence; priestly garments change for each stage</w:t>
            </w:r>
          </w:p>
        </w:tc>
      </w:tr>
      <w:tr>
        <w:tc>
          <w:tcPr/>
          <w:p>
            <w:pPr>
              <w:pStyle w:val="Compact"/>
            </w:pPr>
            <w:r>
              <w:t xml:space="preserve">12–13</w:t>
            </w:r>
          </w:p>
        </w:tc>
        <w:tc>
          <w:tcPr/>
          <w:p>
            <w:pPr>
              <w:pStyle w:val="Compact"/>
            </w:pPr>
            <w:r>
              <w:t xml:space="preserve">The fire on the altar must be kept burning —</w:t>
            </w:r>
            <w:r>
              <w:t xml:space="preserve"> </w:t>
            </w:r>
            <w:r>
              <w:rPr>
                <w:i/>
                <w:iCs/>
              </w:rPr>
              <w:t xml:space="preserve">it must not go out</w:t>
            </w:r>
            <w:r>
              <w:t xml:space="preserve">; the priest adds wood each morning, arranges the burnt offering, burns the fat of the fellowship offerings;</w:t>
            </w:r>
            <w:r>
              <w:t xml:space="preserve"> </w:t>
            </w:r>
            <w:r>
              <w:rPr>
                <w:b/>
                <w:bCs/>
              </w:rPr>
              <w:t xml:space="preserve">the fire must never go out</w:t>
            </w:r>
          </w:p>
        </w:tc>
        <w:tc>
          <w:tcPr/>
          <w:p>
            <w:pPr>
              <w:pStyle w:val="Compact"/>
            </w:pPr>
            <w:r>
              <w:t xml:space="preserve">The triple emphasis on perpetual fire (vv. 9, 12, 13) is deliberate; this is the liturgical heartbeat of the tabernacle’s operation</w:t>
            </w:r>
          </w:p>
        </w:tc>
      </w:tr>
      <w:tr>
        <w:tc>
          <w:tcPr/>
          <w:p>
            <w:pPr>
              <w:pStyle w:val="Compact"/>
            </w:pPr>
            <w:r>
              <w:t xml:space="preserve">14–18</w:t>
            </w:r>
          </w:p>
        </w:tc>
        <w:tc>
          <w:tcPr/>
          <w:p>
            <w:pPr>
              <w:pStyle w:val="Compact"/>
            </w:pPr>
            <w:r>
              <w:t xml:space="preserve">Instructions for the grain offering: Aaron’s sons bring it before the altar; a priest takes a handful with oil and frankincense and burns it as a memorial portion; the remainder belongs to Aaron and his sons, to be eaten without leaven in the court of the tabernacle; it is most holy; every male descendant of Aaron may eat it</w:t>
            </w:r>
          </w:p>
        </w:tc>
        <w:tc>
          <w:tcPr/>
          <w:p>
            <w:pPr>
              <w:pStyle w:val="Compact"/>
            </w:pPr>
            <w:r>
              <w:t xml:space="preserve">Grain offering portions reveal the principle of priestly provision — the altar provides for those who serve it; the holy restriction (no leaven; only in the court; only males of Aaron’s line) reinforces the sanctity of the offering</w:t>
            </w:r>
          </w:p>
        </w:tc>
      </w:tr>
      <w:tr>
        <w:tc>
          <w:tcPr/>
          <w:p>
            <w:pPr>
              <w:pStyle w:val="Compact"/>
            </w:pPr>
            <w:r>
              <w:t xml:space="preserve">19–23</w:t>
            </w:r>
          </w:p>
        </w:tc>
        <w:tc>
          <w:tcPr/>
          <w:p>
            <w:pPr>
              <w:pStyle w:val="Compact"/>
            </w:pPr>
            <w:r>
              <w:t xml:space="preserve">The offering Aaron and his sons must bring on the day of his anointing: a tenth of an ephah of fine flour as a regular grain offering; half in the morning, half in the evening; it must be baked on a griddle with oil; it must be entirely burned — the priest’s grain offering must not be eaten</w:t>
            </w:r>
          </w:p>
        </w:tc>
        <w:tc>
          <w:tcPr/>
          <w:p>
            <w:pPr>
              <w:pStyle w:val="Compact"/>
            </w:pPr>
            <w:r>
              <w:t xml:space="preserve">The priests offer for themselves; they cannot eat what they offer on their own behalf — this is a self-offering principle; the high priest’s anointing-day offering inaugurates perpetual priestly self-giving</w:t>
            </w:r>
          </w:p>
        </w:tc>
      </w:tr>
      <w:tr>
        <w:tc>
          <w:tcPr/>
          <w:p>
            <w:pPr>
              <w:pStyle w:val="Compact"/>
            </w:pPr>
            <w:r>
              <w:t xml:space="preserve">24–26</w:t>
            </w:r>
          </w:p>
        </w:tc>
        <w:tc>
          <w:tcPr/>
          <w:p>
            <w:pPr>
              <w:pStyle w:val="Compact"/>
            </w:pPr>
            <w:r>
              <w:t xml:space="preserve">The sin offering regulations: the sin offering is slaughtered before the LORD where the burnt offering is slaughtered; it is most holy; the priest who offers it shall eat it in a holy place — in the court of the tabernacle</w:t>
            </w:r>
          </w:p>
        </w:tc>
        <w:tc>
          <w:tcPr/>
          <w:p>
            <w:pPr>
              <w:pStyle w:val="Compact"/>
            </w:pPr>
            <w:r>
              <w:t xml:space="preserve">The sin offering is consumed by the priest as the authorized representative; the location requirement reinforces the holiness boundary</w:t>
            </w:r>
          </w:p>
        </w:tc>
      </w:tr>
      <w:tr>
        <w:tc>
          <w:tcPr/>
          <w:p>
            <w:pPr>
              <w:pStyle w:val="Compact"/>
            </w:pPr>
            <w:r>
              <w:t xml:space="preserve">27–28</w:t>
            </w:r>
          </w:p>
        </w:tc>
        <w:tc>
          <w:tcPr/>
          <w:p>
            <w:pPr>
              <w:pStyle w:val="Compact"/>
            </w:pPr>
            <w:r>
              <w:t xml:space="preserve">Whatever touches the sin offering’s flesh becomes holy; if blood splashes on a garment, it must be washed in a holy place; the clay vessel used to boil the meat must be broken; a bronze vessel must be scoured and rinsed</w:t>
            </w:r>
          </w:p>
        </w:tc>
        <w:tc>
          <w:tcPr/>
          <w:p>
            <w:pPr>
              <w:pStyle w:val="Compact"/>
            </w:pPr>
            <w:r>
              <w:t xml:space="preserve">Holiness contagion is not magical — it is covenantal; the destruction of the clay vessel and the scouring of bronze prevents the residue of a holy sacrifice from being treated as ordinary</w:t>
            </w:r>
          </w:p>
        </w:tc>
      </w:tr>
      <w:tr>
        <w:tc>
          <w:tcPr/>
          <w:p>
            <w:pPr>
              <w:pStyle w:val="Compact"/>
            </w:pPr>
            <w:r>
              <w:t xml:space="preserve">29–30</w:t>
            </w:r>
          </w:p>
        </w:tc>
        <w:tc>
          <w:tcPr/>
          <w:p>
            <w:pPr>
              <w:pStyle w:val="Compact"/>
            </w:pPr>
            <w:r>
              <w:t xml:space="preserve">Every male among Aaron’s sons may eat the sin offering — it is most holy; however, any sin offering whose blood is brought into the tent of meeting to make atonement in the Holy Place must not be eaten — it must be burned</w:t>
            </w:r>
          </w:p>
        </w:tc>
        <w:tc>
          <w:tcPr/>
          <w:p>
            <w:pPr>
              <w:pStyle w:val="Compact"/>
            </w:pPr>
            <w:r>
              <w:t xml:space="preserve">The distinction between sin offerings consumed by priests (atonement for laypersons) and those burned entirely (atonement for the congregation or priests themselves) reinforces the principle that those who benefit from atonement cannot simultaneously consume the atoning sacrifice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Guilt Offering for Neighbor-Fraud: Full Restitution and Full Atonement</w:t>
            </w:r>
          </w:p>
        </w:tc>
      </w:tr>
      <w:tr>
        <w:tc>
          <w:tcPr/>
          <w:p>
            <w:pPr>
              <w:pStyle w:val="Compact"/>
            </w:pPr>
            <w:r>
              <w:t xml:space="preserve">2</w:t>
            </w:r>
          </w:p>
        </w:tc>
        <w:tc>
          <w:tcPr/>
          <w:p>
            <w:pPr>
              <w:pStyle w:val="Compact"/>
            </w:pPr>
            <w:r>
              <w:t xml:space="preserve">8–13</w:t>
            </w:r>
          </w:p>
        </w:tc>
        <w:tc>
          <w:tcPr/>
          <w:p>
            <w:pPr>
              <w:pStyle w:val="Compact"/>
            </w:pPr>
            <w:r>
              <w:t xml:space="preserve">The Burnt Offering Instructions: The Fire That Must Never Go Out</w:t>
            </w:r>
          </w:p>
        </w:tc>
      </w:tr>
      <w:tr>
        <w:tc>
          <w:tcPr/>
          <w:p>
            <w:pPr>
              <w:pStyle w:val="Compact"/>
            </w:pPr>
            <w:r>
              <w:t xml:space="preserve">3</w:t>
            </w:r>
          </w:p>
        </w:tc>
        <w:tc>
          <w:tcPr/>
          <w:p>
            <w:pPr>
              <w:pStyle w:val="Compact"/>
            </w:pPr>
            <w:r>
              <w:t xml:space="preserve">14–18</w:t>
            </w:r>
          </w:p>
        </w:tc>
        <w:tc>
          <w:tcPr/>
          <w:p>
            <w:pPr>
              <w:pStyle w:val="Compact"/>
            </w:pPr>
            <w:r>
              <w:t xml:space="preserve">The Grain Offering Instructions: Priestly Portions and Holy Restrictions</w:t>
            </w:r>
          </w:p>
        </w:tc>
      </w:tr>
      <w:tr>
        <w:tc>
          <w:tcPr/>
          <w:p>
            <w:pPr>
              <w:pStyle w:val="Compact"/>
            </w:pPr>
            <w:r>
              <w:t xml:space="preserve">4</w:t>
            </w:r>
          </w:p>
        </w:tc>
        <w:tc>
          <w:tcPr/>
          <w:p>
            <w:pPr>
              <w:pStyle w:val="Compact"/>
            </w:pPr>
            <w:r>
              <w:t xml:space="preserve">19–23</w:t>
            </w:r>
          </w:p>
        </w:tc>
        <w:tc>
          <w:tcPr/>
          <w:p>
            <w:pPr>
              <w:pStyle w:val="Compact"/>
            </w:pPr>
            <w:r>
              <w:t xml:space="preserve">The Priests’ Own Grain Offering: Self-Offering at Anointing and Beyond</w:t>
            </w:r>
          </w:p>
        </w:tc>
      </w:tr>
      <w:tr>
        <w:tc>
          <w:tcPr/>
          <w:p>
            <w:pPr>
              <w:pStyle w:val="Compact"/>
            </w:pPr>
            <w:r>
              <w:t xml:space="preserve">5</w:t>
            </w:r>
          </w:p>
        </w:tc>
        <w:tc>
          <w:tcPr/>
          <w:p>
            <w:pPr>
              <w:pStyle w:val="Compact"/>
            </w:pPr>
            <w:r>
              <w:t xml:space="preserve">24–30</w:t>
            </w:r>
          </w:p>
        </w:tc>
        <w:tc>
          <w:tcPr/>
          <w:p>
            <w:pPr>
              <w:pStyle w:val="Compact"/>
            </w:pPr>
            <w:r>
              <w:t xml:space="preserve">The Sin Offering Instructions: Most Holy, Most Carefully Handled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legislates the holy — governing guilt toward neighbors and priestly conduct at the altar with precise, demanding care.</w:t>
      </w:r>
    </w:p>
    <w:p>
      <w:pPr>
        <w:pStyle w:val="BodyText"/>
      </w:pPr>
      <w:r>
        <w:rPr>
          <w:b/>
          <w:bCs/>
        </w:rPr>
        <w:t xml:space="preserve">Primary Claim:</w:t>
      </w:r>
      <w:r>
        <w:t xml:space="preserve"> </w:t>
      </w:r>
      <w:r>
        <w:t xml:space="preserve">God is showing Israel that nearness to Him requires both complete restoration toward those we have wronged and scrupulous reverence for the holiness that attends His altar — and that neither can be substituted for the other.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The God you approach is weightily holy — and He has provided a way for you to approach Him nonetheless.</w:t>
      </w:r>
      <w:r>
        <w:t xml:space="preserve"> </w:t>
      </w:r>
      <w:r>
        <w:t xml:space="preserve">The elaborate precision of the altar regulations in this chapter is not bureaucratic fussiness — it is God’s sustained curriculum teaching His people that He is not ordinary, that drawing near to Him is not casual, and that the one who approaches Him approaches a consuming fire. The priest who carelessly handled ashes, wore the wrong garment, or let the fire die was not failing a procedural inspection; he was treating the holy as common. For the Christian who takes access to God for granted — who rushes into prayer without thought, who treats worship as one more scheduled event, who handles the things of God with breezy familiarity — this chapter administers a corrective: the God you approach is the same God whose altar fire was never permitted to die, whose vessels had to be broken or scoured, whose holiness was not safe to handle carelessly. The wonder is not that such a God is unapproachable — it is that He has, at the cost of His own Son, made a way for you to approach Him fully and freely. Let that combination — awesome holiness, costly welcome — actually shape how you draw near.</w:t>
      </w:r>
    </w:p>
    <w:p>
      <w:pPr>
        <w:pStyle w:val="BodyText"/>
      </w:pPr>
      <w:r>
        <w:rPr>
          <w:b/>
          <w:bCs/>
        </w:rPr>
        <w:t xml:space="preserve">2. [Will/Behavior] When you have defrauded, deceived, or withheld from someone, the offering cannot precede the restoration.</w:t>
      </w:r>
      <w:r>
        <w:t xml:space="preserve"> </w:t>
      </w:r>
      <w:r>
        <w:t xml:space="preserve">Leviticus 6:1–7 specifies the guilt offering with unusual particularity: the fraud, the false oath, the deception, the withheld wages — and then the requirement that restitution plus twenty percent be made</w:t>
      </w:r>
      <w:r>
        <w:t xml:space="preserve"> </w:t>
      </w:r>
      <w:r>
        <w:rPr>
          <w:i/>
          <w:iCs/>
        </w:rPr>
        <w:t xml:space="preserve">on the day of the guilt offering</w:t>
      </w:r>
      <w:r>
        <w:t xml:space="preserve">. The vertical atonement and the horizontal restoration are simultaneous requirements, not sequential options. Jesus restates this logic exactly in Matthew 5:23–24: leave the gift at the altar and first be reconciled to your brother. The application is concrete: if you have taken something that belongs to someone else — money, reputation, time, credit, an advantage gained through deception — no amount of devotional activity, church attendance, or even private confession before God substitutes for going to that person and making it whole. The twenty-percent premium (vv. 5–6) suggests that genuine restitution goes beyond merely restoring the status quo; it acknowledges that the wrong caused real harm and that making things right requires overcompensating, not merely equaling. Identify the person, name the wrong, and make it right.</w:t>
      </w:r>
    </w:p>
    <w:p>
      <w:pPr>
        <w:pStyle w:val="BodyText"/>
      </w:pPr>
      <w:r>
        <w:rPr>
          <w:b/>
          <w:bCs/>
        </w:rPr>
        <w:t xml:space="preserve">3. [Affections/Worship] Let the perpetual fire shape your sense of what worship actually is.</w:t>
      </w:r>
      <w:r>
        <w:t xml:space="preserve"> </w:t>
      </w:r>
      <w:r>
        <w:t xml:space="preserve">The command that the altar fire must never go out — stated three times in five verses (vv. 9, 12, 13) — is more than a fire-safety regulation. It is a portrait of what God’s relationship to His people requires: a worship that does not pause, a consecration that does not cool, an ongoing sacrifice that is never finished until the full and final sacrifice has been made. The Christian this side of Calvary knows that Christ’s once-for-all sacrifice does not need to be repeated — but that finished work does not render worship intermittent or optional. The Spirit has been given permanently and does not go out. But the affections can cool; the sense of the holy can fade; the habit of constant, conscious communion with God can be displaced by busy ordinariness. This chapter asks: has your worship fire gone out? Not whether you attend services — but whether there is a continuous, living awareness of God’s presence that shapes your daily movement the way the altar fire shaped the daily rhythm of the tabernacle?</w:t>
      </w:r>
    </w:p>
    <w:p>
      <w:pPr>
        <w:pStyle w:val="BodyText"/>
      </w:pPr>
      <w:r>
        <w:rPr>
          <w:b/>
          <w:bCs/>
        </w:rPr>
        <w:t xml:space="preserve">4. [Mind/Belief] Sin against your neighbor is simultaneously sin against God — you cannot sin against one without sinning against the other.</w:t>
      </w:r>
      <w:r>
        <w:t xml:space="preserve"> </w:t>
      </w:r>
      <w:r>
        <w:t xml:space="preserve">The guilt offering of verses 1–7 is striking in its insistence that what looks like a horizontal crime — theft, fraud, extortion, deception — requires a vertical atonement. The false oath (v. 3) makes explicit what is implicit throughout: when you wrong a neighbor, you have also violated your covenant relationship with God, because both the neighbor and the relationship between you were held in trust under His name. This is not how contemporary culture frames interpersonal wrongs: they are relational, financial, legal, psychological — but rarely theological. The biblical category insists that you cannot wrong your neighbor without wronging God, which is why restitution to the neighbor does not close the account. It is also why, conversely, the atonement before God cannot bypass the neighbor — the offense was against both, and healing must reach both. This should recalibrate how you understand your ethical failures: the person you lied to, the reputation you damaged, the credit you took unfairly — these are not merely relationship problems. They are theological problems that require theological resolution.</w:t>
      </w:r>
    </w:p>
    <w:p>
      <w:pPr>
        <w:pStyle w:val="BodyText"/>
      </w:pPr>
      <w:r>
        <w:rPr>
          <w:b/>
          <w:bCs/>
        </w:rPr>
        <w:t xml:space="preserve">5. [Will/Behavior] Those who serve near the holy things have a heightened responsibility to treat what is God’s as God’s — not as ordinary.</w:t>
      </w:r>
      <w:r>
        <w:t xml:space="preserve"> </w:t>
      </w:r>
      <w:r>
        <w:t xml:space="preserve">The priestly regulations of Leviticus 6 are addressed specifically to Aaron and his sons — those whose vocation placed them in daily proximity to the most holy things. The very familiarity of their service created the danger of treating the sacred as routine. The broken clay vessels, the scoured bronze pots, the clean place for the ashes, the linen garments — all of these are physical safeguards against the creeping ordinariness that proximity produces. Those who serve in the church — pastors, elders, ministry leaders, worship teams, those who handle the Word and the sacraments regularly — face exactly this danger: that the thing you handle every week ceases to astonish you, that preparation becomes rote, that holy things are managed rather than revered. This chapter calls those who serve near God’s holy things to resist the ordinariness that familiarity breeds, to re-examine whether the things of God in their hands are being handled with priestly care or with professional routine.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6 presents God as utterly, uncompromisingly holy — and as the one who governs the terms by which sinners may approach Him. The guilt offering legislation establishes that God’s holiness encompasses not only direct religious offenses but violations of human relationships conducted under His name: to defraud a neighbor through a false oath is to profane the name of the God whose covenant holds the community together. The priestly regulations establish that the God who invites His people into His presence is not thereby rendered ordinary — the fire must never go out, the vessels must be broken or scoured, the garments must be appropriate, the ashes must be carried to a clean place. Every regulation is a lesson in the same truth: God’s holiness is not a formality but a reality that reaches into every detail of what happens at His altar. He is a consuming fire (Deuteronomy 4:24; Hebrews 12:29), and the gift of approaching Him is the most remarkable thing in the universe.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6 sits at the heart of Reformed covenant theology’s understanding of the relationship between law and gospel, type and antitype, holiness and grace. The guilt offering provisions display the biblical architecture that Calvin explored throughout the</w:t>
      </w:r>
      <w:r>
        <w:t xml:space="preserve"> </w:t>
      </w:r>
      <w:r>
        <w:rPr>
          <w:i/>
          <w:iCs/>
        </w:rPr>
        <w:t xml:space="preserve">Institutes</w:t>
      </w:r>
      <w:r>
        <w:t xml:space="preserve">: God’s law reveals the full weight of sin — not merely the gross offense but the subtle deception, not merely the direct theological transgression but the fraud against a neighbor — and then provides atonement through blood, not through human effort or good intentions. The priestly regulations display the Reformed instinct regarding the ministry of Word and sacrament: those who serve near holy things serve on God’s terms, not their own, and the elaborate care of the Levitical priests points forward to Christ’s perfect priestly obedience. Where every Israelite priest failed — allowing the fire to cool, handling the holy carelessly, growing familiar with what demands reverence — Christ succeeded fully, presenting Himself without blemish, offering Himself once for all, and securing permanent atonement. The perpetual fire that Israel’s priests could never quite guarantee is now permanently secured in the once-for-all sacrifice of the eternal High Priest and the permanent indwelling of His Spirit.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telling His people — and telling you — that He is not manageable. He governs every approach to Himself with exact and weighty care, He insists that sin against your neighbor cannot be laundered by sacrifice alone, and He will not allow the fire that represents His continual presence to go out on your watch. The astonishing news is that Christ has fulfilled every priestly requirement you could never meet, made the restitution you could never make, and secured permanent access for you — but that news is not a license for casualness. Draw near, fully and freely, because He has made the way; draw near with reverence, because the God you approach is a consuming fire.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Leviticus 6 as inaccessible antiquity and summarizing rather than expositing.</w:t>
      </w:r>
      <w:r>
        <w:t xml:space="preserve"> </w:t>
      </w:r>
      <w:r>
        <w:t xml:space="preserve">The most common failure with Levitical texts is to treat them as background material for a New Testament point rather than as texts with their own claim. The preacher who says</w:t>
      </w:r>
      <w:r>
        <w:t xml:space="preserve"> </w:t>
      </w:r>
      <w:r>
        <w:t xml:space="preserve">“All these regulations pointed to Christ”</w:t>
      </w:r>
      <w:r>
        <w:t xml:space="preserve"> </w:t>
      </w:r>
      <w:r>
        <w:t xml:space="preserve">and then moves immediately to Hebrews has preached from Hebrews, not from Leviticus 6. The chapter deserves its own exposition before canonical connections are made. The regulations are not merely shadows — they are God’s sustained teaching about His own holiness, and that teaching has force before its fulfillment is named.</w:t>
      </w:r>
    </w:p>
    <w:p>
      <w:pPr>
        <w:numPr>
          <w:ilvl w:val="0"/>
          <w:numId w:val="1002"/>
        </w:numPr>
      </w:pPr>
      <w:r>
        <w:rPr>
          <w:b/>
          <w:bCs/>
        </w:rPr>
        <w:t xml:space="preserve">Separating the guilt offering legislation (vv. 1–7) from the priestly instructions (vv. 8–30) and preaching only one half.</w:t>
      </w:r>
      <w:r>
        <w:t xml:space="preserve"> </w:t>
      </w:r>
      <w:r>
        <w:t xml:space="preserve">These two sections are sometimes treated as unrelated — one a social ethics text, the other a priestly manual. But they belong together: the chapter as a whole is about approaching a holy God, whether you are a layperson bringing the offering that restores your broken relationships or a priest maintaining the altar. The integrated holiness the chapter demands — horizontal restoration and vertical reverence — is lost if either half is treated in isolation.</w:t>
      </w:r>
    </w:p>
    <w:p>
      <w:pPr>
        <w:numPr>
          <w:ilvl w:val="0"/>
          <w:numId w:val="1002"/>
        </w:numPr>
      </w:pPr>
      <w:r>
        <w:rPr>
          <w:b/>
          <w:bCs/>
        </w:rPr>
        <w:t xml:space="preserve">Moralizing the guilt offering into a bare call to make restitution, without grounding it in atonement.</w:t>
      </w:r>
      <w:r>
        <w:t xml:space="preserve"> </w:t>
      </w:r>
      <w:r>
        <w:t xml:space="preserve">The guilt offering of verses 1–7 is a remarkable social ethics text — full restitution plus twenty percent, horizontal restoration alongside vertical sacrifice. But to preach it primarily as a call to relational repair or restorative justice divorces the horizontal dimension from the theological architecture that carries it. The restitution is required</w:t>
      </w:r>
      <w:r>
        <w:t xml:space="preserve"> </w:t>
      </w:r>
      <w:r>
        <w:rPr>
          <w:i/>
          <w:iCs/>
        </w:rPr>
        <w:t xml:space="preserve">because sin is against God</w:t>
      </w:r>
      <w:r>
        <w:t xml:space="preserve">, and the atonement is required</w:t>
      </w:r>
      <w:r>
        <w:t xml:space="preserve"> </w:t>
      </w:r>
      <w:r>
        <w:rPr>
          <w:i/>
          <w:iCs/>
        </w:rPr>
        <w:t xml:space="preserve">because the offense included His name</w:t>
      </w:r>
      <w:r>
        <w:t xml:space="preserve">. The social repair flows from the theological reality, not the other way around.</w:t>
      </w:r>
    </w:p>
    <w:p>
      <w:pPr>
        <w:numPr>
          <w:ilvl w:val="0"/>
          <w:numId w:val="1002"/>
        </w:numPr>
      </w:pPr>
      <w:r>
        <w:rPr>
          <w:b/>
          <w:bCs/>
        </w:rPr>
        <w:t xml:space="preserve">Extracting</w:t>
      </w:r>
      <w:r>
        <w:rPr>
          <w:b/>
          <w:bCs/>
        </w:rPr>
        <w:t xml:space="preserve"> </w:t>
      </w:r>
      <w:r>
        <w:rPr>
          <w:b/>
          <w:bCs/>
        </w:rPr>
        <w:t xml:space="preserve">“keep the fire burning”</w:t>
      </w:r>
      <w:r>
        <w:rPr>
          <w:b/>
          <w:bCs/>
        </w:rPr>
        <w:t xml:space="preserve"> </w:t>
      </w:r>
      <w:r>
        <w:rPr>
          <w:b/>
          <w:bCs/>
        </w:rPr>
        <w:t xml:space="preserve">(vv. 9, 12–13) as a freestanding motivational call to spiritual fervor.</w:t>
      </w:r>
      <w:r>
        <w:t xml:space="preserve"> </w:t>
      </w:r>
      <w:r>
        <w:t xml:space="preserve">The command to keep the altar fire burning has legitimate typological resonance, but using it primarily as a call to spiritual discipline or revival effort inverts the direction of the text. The priest keeps the fire burning by his careful, obedient service — but the fire’s</w:t>
      </w:r>
      <w:r>
        <w:t xml:space="preserve"> </w:t>
      </w:r>
      <w:r>
        <w:rPr>
          <w:i/>
          <w:iCs/>
        </w:rPr>
        <w:t xml:space="preserve">source</w:t>
      </w:r>
      <w:r>
        <w:t xml:space="preserve"> </w:t>
      </w:r>
      <w:r>
        <w:t xml:space="preserve">and</w:t>
      </w:r>
      <w:r>
        <w:t xml:space="preserve"> </w:t>
      </w:r>
      <w:r>
        <w:rPr>
          <w:i/>
          <w:iCs/>
        </w:rPr>
        <w:t xml:space="preserve">guarantee</w:t>
      </w:r>
      <w:r>
        <w:t xml:space="preserve"> </w:t>
      </w:r>
      <w:r>
        <w:t xml:space="preserve">are not his effort. To preach this text primarily as</w:t>
      </w:r>
      <w:r>
        <w:t xml:space="preserve"> </w:t>
      </w:r>
      <w:r>
        <w:t xml:space="preserve">“don’t let your spiritual fire go out”</w:t>
      </w:r>
      <w:r>
        <w:t xml:space="preserve"> </w:t>
      </w:r>
      <w:r>
        <w:t xml:space="preserve">turns a priestly instruction about covenantal worship into a self-improvement imperative and misses the canonical resolution: the Spirit has been given permanently and does not require human hands to maintain Him.</w:t>
      </w:r>
    </w:p>
    <w:p>
      <w:pPr>
        <w:numPr>
          <w:ilvl w:val="0"/>
          <w:numId w:val="1002"/>
        </w:numPr>
      </w:pPr>
      <w:r>
        <w:rPr>
          <w:b/>
          <w:bCs/>
        </w:rPr>
        <w:t xml:space="preserve">Missing the Christological resolution without imposing it artificially.</w:t>
      </w:r>
      <w:r>
        <w:t xml:space="preserve"> </w:t>
      </w:r>
      <w:r>
        <w:t xml:space="preserve">Leviticus 6 can be preached two ways badly: either by refusing the canonical connection and treating it as a standalone instruction manual with no gospel telos, or by collapsing every detail into Christological type before the text has been heard on its own terms. The correct path runs through the text’s own claim first — then to Hebrews 7–10 as the canonical resolution that both fulfills and illuminates what the chapter was always building toward. Christ is not a footnote to Leviticus 6; He is its destination. But He cannot be the destination if the text has not first been the text.</w:t>
      </w:r>
    </w:p>
    <w:p>
      <w:pPr>
        <w:numPr>
          <w:ilvl w:val="0"/>
          <w:numId w:val="1002"/>
        </w:numPr>
      </w:pPr>
      <w:r>
        <w:rPr>
          <w:b/>
          <w:bCs/>
        </w:rPr>
        <w:t xml:space="preserve">Neglecting the priestly-application angle for those in ministry.</w:t>
      </w:r>
      <w:r>
        <w:t xml:space="preserve"> </w:t>
      </w:r>
      <w:r>
        <w:t xml:space="preserve">The shift in audience from chapters 1–5 (the layperson bringing offerings) to chapter 6 (the priest handling them) is not homiletically accidental. The chapter has specific things to say to those in pastoral and ministry vocations — about the danger of familiarity with holy things, about the perpetual attentiveness that priestly service demands, about the difference between managing the sacred and revering it. A congregation that includes ministry leaders deserves to have this angle drawn out, not flattened into a generic call to all believers.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2026-07-14T21:01:37Z</dcterms:created>
  <dcterms:modified xsi:type="dcterms:W3CDTF">2026-07-14T21:01:37Z</dcterms:modified>
</cp:coreProperties>
</file>

<file path=docProps/custom.xml><?xml version="1.0" encoding="utf-8"?>
<Properties xmlns="http://schemas.openxmlformats.org/officeDocument/2006/custom-properties" xmlns:vt="http://schemas.openxmlformats.org/officeDocument/2006/docPropsVTypes"/>
</file>